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spacing w:before="0" w:after="150"/>
        <w:ind w:hanging="360" w:left="720"/>
        <w:rPr>
          <w:rFonts w:ascii="Times New Roman" w:hAnsi="Times New Roman" w:cs="Times New Roman"/>
          <w:b/>
          <w:bCs/>
          <w:lang w:val="lt-LT"/>
        </w:rPr>
      </w:pPr>
      <w:r>
        <w:rPr>
          <w:rFonts w:cs="Times New Roman" w:ascii="Times New Roman" w:hAnsi="Times New Roman"/>
          <w:b/>
          <w:bCs/>
          <w:lang w:val="lt-LT"/>
        </w:rPr>
        <w:t>DĖL ATSAKYMŲ Į KLAUSIMUS</w:t>
      </w:r>
    </w:p>
    <w:p>
      <w:pPr>
        <w:pStyle w:val="Normal"/>
        <w:shd w:val="clear" w:color="auto" w:fill="FFFFFF"/>
        <w:spacing w:before="0" w:after="150"/>
        <w:ind w:hanging="360" w:left="720"/>
        <w:jc w:val="center"/>
        <w:rPr>
          <w:rFonts w:ascii="Times New Roman" w:hAnsi="Times New Roman" w:cs="Times New Roman"/>
          <w:sz w:val="28"/>
          <w:szCs w:val="28"/>
          <w:lang w:val="lt-LT"/>
        </w:rPr>
      </w:pPr>
      <w:r>
        <w:rPr>
          <w:rFonts w:cs="Times New Roman" w:ascii="Times New Roman" w:hAnsi="Times New Roman"/>
          <w:sz w:val="28"/>
          <w:szCs w:val="28"/>
          <w:lang w:val="lt-LT"/>
        </w:rPr>
      </w:r>
    </w:p>
    <w:p>
      <w:pPr>
        <w:pStyle w:val="Normal"/>
        <w:shd w:val="clear" w:color="auto" w:fill="FFFFFF"/>
        <w:spacing w:lineRule="auto" w:line="360"/>
        <w:ind w:firstLine="992"/>
        <w:jc w:val="both"/>
        <w:rPr>
          <w:rFonts w:ascii="Times New Roman" w:hAnsi="Times New Roman" w:cs="Times New Roman"/>
          <w:lang w:val="lt-LT"/>
        </w:rPr>
      </w:pPr>
      <w:r>
        <w:rPr>
          <w:rFonts w:cs="Times New Roman" w:ascii="Times New Roman" w:hAnsi="Times New Roman"/>
          <w:lang w:val="en-US"/>
        </w:rPr>
        <w:t>Higienos institut</w:t>
      </w:r>
      <w:r>
        <w:rPr>
          <w:rFonts w:cs="Times New Roman" w:ascii="Times New Roman" w:hAnsi="Times New Roman"/>
          <w:lang w:val="lt-LT"/>
        </w:rPr>
        <w:t>o</w:t>
      </w:r>
      <w:r>
        <w:rPr>
          <w:rFonts w:cs="Times New Roman" w:ascii="Times New Roman" w:hAnsi="Times New Roman"/>
          <w:lang w:val="en-US"/>
        </w:rPr>
        <w:t xml:space="preserve"> vie</w:t>
      </w:r>
      <w:r>
        <w:rPr>
          <w:rFonts w:cs="Times New Roman" w:ascii="Times New Roman" w:hAnsi="Times New Roman"/>
          <w:lang w:val="lt-LT"/>
        </w:rPr>
        <w:t>šojo pirkimo komisija</w:t>
      </w:r>
      <w:r>
        <w:rPr>
          <w:rFonts w:cs="Times New Roman" w:ascii="Times New Roman" w:hAnsi="Times New Roman"/>
          <w:lang w:val="en-US"/>
        </w:rPr>
        <w:t xml:space="preserve"> </w:t>
      </w:r>
      <w:r>
        <w:rPr>
          <w:rFonts w:cs="Times New Roman" w:ascii="Times New Roman" w:hAnsi="Times New Roman"/>
          <w:lang w:val="lt-LT"/>
        </w:rPr>
        <w:t>vykdydama pirkimą „</w:t>
      </w:r>
      <w:r>
        <w:rPr>
          <w:rFonts w:cs="Times New Roman" w:ascii="Times New Roman" w:hAnsi="Times New Roman"/>
          <w:lang w:val="lt-LT"/>
        </w:rPr>
        <w:t>Ekspertų mokymai naujiems koordinatoriams (kontaktiniai mokymai) ir naujų koordinatorių mokymas kaip apmokyti ir paruošti ambasadorius</w:t>
      </w:r>
      <w:r>
        <w:rPr>
          <w:rFonts w:cs="Times New Roman" w:ascii="Times New Roman" w:hAnsi="Times New Roman"/>
          <w:lang w:val="lt-LT"/>
        </w:rPr>
        <w:t xml:space="preserve">“ pirkimą (ID. </w:t>
      </w:r>
      <w:r>
        <w:rPr>
          <w:rFonts w:cs="Times New Roman" w:ascii="Times New Roman" w:hAnsi="Times New Roman"/>
          <w:lang w:val="lt-LT"/>
        </w:rPr>
        <w:t>4026904</w:t>
      </w:r>
      <w:r>
        <w:rPr>
          <w:rFonts w:cs="Times New Roman" w:ascii="Times New Roman" w:hAnsi="Times New Roman"/>
          <w:lang w:val="lt-LT"/>
        </w:rPr>
        <w:t>) gavo klausimus iš tiekėjų. Higienos instituto viešojo pirkimo komisija išnagrinėjo gautus klausimus ir pateikia atsakymus:</w:t>
      </w:r>
    </w:p>
    <w:p>
      <w:pPr>
        <w:pStyle w:val="Normal"/>
        <w:shd w:val="clear" w:color="auto" w:fill="FFFFFF"/>
        <w:spacing w:before="0" w:after="150"/>
        <w:ind w:hanging="360" w:left="720"/>
        <w:jc w:val="center"/>
        <w:rPr>
          <w:rFonts w:ascii="Times New Roman" w:hAnsi="Times New Roman" w:cs="Times New Roman"/>
          <w:sz w:val="28"/>
          <w:szCs w:val="28"/>
          <w:lang w:val="lt-LT"/>
        </w:rPr>
      </w:pPr>
      <w:r>
        <w:rPr>
          <w:rFonts w:cs="Times New Roman" w:ascii="Times New Roman" w:hAnsi="Times New Roman"/>
          <w:sz w:val="28"/>
          <w:szCs w:val="28"/>
          <w:lang w:val="lt-LT"/>
        </w:rPr>
      </w:r>
    </w:p>
    <w:p>
      <w:pPr>
        <w:pStyle w:val="NormalWeb"/>
        <w:numPr>
          <w:ilvl w:val="0"/>
          <w:numId w:val="2"/>
        </w:numPr>
        <w:shd w:val="clear" w:color="auto" w:fill="FFFFFF"/>
        <w:spacing w:lineRule="auto" w:line="360" w:beforeAutospacing="0" w:before="0" w:afterAutospacing="0" w:after="0"/>
        <w:jc w:val="both"/>
        <w:rPr>
          <w:rFonts w:ascii="Times New Roman" w:hAnsi="Times New Roman"/>
        </w:rPr>
      </w:pPr>
      <w:r>
        <w:rPr>
          <w:b/>
          <w:bCs/>
          <w:lang w:val="lt-LT"/>
        </w:rPr>
        <w:t>Klausimas</w:t>
      </w:r>
    </w:p>
    <w:p>
      <w:pPr>
        <w:pStyle w:val="NormalWeb"/>
        <w:shd w:val="clear" w:color="auto" w:fill="FFFFFF"/>
        <w:spacing w:lineRule="auto" w:line="360" w:beforeAutospacing="0" w:before="0" w:afterAutospacing="0" w:after="0"/>
        <w:ind w:left="714"/>
        <w:jc w:val="both"/>
        <w:rPr>
          <w:rFonts w:ascii="Times New Roman" w:hAnsi="Times New Roman"/>
        </w:rPr>
      </w:pPr>
      <w:r>
        <w:rPr>
          <w:lang w:val="lt-LT"/>
        </w:rPr>
        <w:t>„</w:t>
      </w:r>
      <w:r>
        <w:rPr>
          <w:rFonts w:cs="Calibri"/>
          <w:color w:val="333333"/>
          <w:sz w:val="23"/>
          <w:szCs w:val="23"/>
          <w:shd w:fill="FFFFFF" w:val="clear"/>
        </w:rPr>
        <w:t> </w:t>
      </w:r>
      <w:r>
        <w:rPr>
          <w:rFonts w:cs="Calibri"/>
          <w:i/>
          <w:iCs/>
          <w:color w:val="333333"/>
          <w:sz w:val="23"/>
          <w:szCs w:val="23"/>
          <w:shd w:fill="FFFFFF" w:val="clear"/>
        </w:rPr>
        <w:t>susipažinome su pirkimo „Ekspertų mokymai naujiems koordinatoriams (kontaktiniai mokymai) ir naujų koordinatorių mokymas kaip apmokyti ir paruošti ambasadorius“ dokumentais.</w:t>
        <w:br/>
        <w:t xml:space="preserve">Pastebėjome, kad pirkimo sąlygose (specialiųjų pirkimo sąlygų 5 priedas) nurodoma, jog kartu su pasiūlymu turi būti pateiktas EBVPD (ESPD), tačiau pačios formos tarp pridėtų dokumentų nerandame. </w:t>
      </w:r>
    </w:p>
    <w:p>
      <w:pPr>
        <w:pStyle w:val="NormalWeb"/>
        <w:shd w:val="clear" w:color="auto" w:fill="FFFFFF"/>
        <w:spacing w:lineRule="auto" w:line="360" w:beforeAutospacing="0" w:before="0" w:afterAutospacing="0" w:after="0"/>
        <w:ind w:left="714"/>
        <w:jc w:val="both"/>
        <w:rPr>
          <w:rFonts w:ascii="Times New Roman" w:hAnsi="Times New Roman"/>
        </w:rPr>
      </w:pPr>
      <w:r>
        <w:rPr>
          <w:rFonts w:cs="Calibri"/>
          <w:i/>
          <w:iCs/>
          <w:color w:val="333333"/>
          <w:sz w:val="23"/>
          <w:szCs w:val="23"/>
          <w:shd w:fill="FFFFFF" w:val="clear"/>
        </w:rPr>
        <w:t xml:space="preserve">Ar galėtumėte patikslinti, ar EBVPD bus pateiktas papildomai? </w:t>
      </w:r>
      <w:r>
        <w:rPr>
          <w:rFonts w:cs="Calibri"/>
          <w:color w:val="333333"/>
          <w:sz w:val="23"/>
          <w:szCs w:val="23"/>
          <w:shd w:fill="FFFFFF" w:val="clear"/>
        </w:rPr>
        <w:t>“</w:t>
      </w:r>
    </w:p>
    <w:p>
      <w:pPr>
        <w:pStyle w:val="NormalWeb"/>
        <w:shd w:val="clear" w:color="auto" w:fill="FFFFFF"/>
        <w:spacing w:lineRule="auto" w:line="360" w:beforeAutospacing="0" w:before="0" w:afterAutospacing="0" w:after="0"/>
        <w:ind w:left="714"/>
        <w:jc w:val="both"/>
        <w:rPr>
          <w:rFonts w:ascii="Times New Roman" w:hAnsi="Times New Roman"/>
          <w:sz w:val="28"/>
          <w:szCs w:val="28"/>
        </w:rPr>
      </w:pPr>
      <w:r>
        <w:rPr>
          <w:sz w:val="28"/>
          <w:szCs w:val="28"/>
        </w:rPr>
      </w:r>
    </w:p>
    <w:p>
      <w:pPr>
        <w:pStyle w:val="NormalWeb"/>
        <w:numPr>
          <w:ilvl w:val="0"/>
          <w:numId w:val="1"/>
        </w:numPr>
        <w:shd w:val="clear" w:color="auto" w:fill="FFFFFF"/>
        <w:spacing w:lineRule="auto" w:line="360" w:beforeAutospacing="0" w:before="0" w:afterAutospacing="0" w:after="0"/>
        <w:jc w:val="both"/>
        <w:rPr>
          <w:rFonts w:ascii="Times New Roman" w:hAnsi="Times New Roman"/>
        </w:rPr>
      </w:pPr>
      <w:r>
        <w:rPr>
          <w:b/>
          <w:bCs/>
          <w:lang w:val="lt-LT"/>
        </w:rPr>
        <w:t>Atsakymas</w:t>
      </w:r>
    </w:p>
    <w:p>
      <w:pPr>
        <w:pStyle w:val="BodyText"/>
        <w:spacing w:lineRule="auto" w:line="360"/>
        <w:ind w:left="709"/>
        <w:jc w:val="both"/>
        <w:rPr>
          <w:rFonts w:ascii="Times New Roman" w:hAnsi="Times New Roman"/>
          <w:lang w:val="lt-LT"/>
        </w:rPr>
      </w:pPr>
      <w:r>
        <w:rPr>
          <w:rFonts w:ascii="Times New Roman" w:hAnsi="Times New Roman"/>
          <w:lang w:val="lt-LT"/>
        </w:rPr>
        <w:t>Pridedame EBVPD.</w:t>
      </w:r>
    </w:p>
    <w:p>
      <w:pPr>
        <w:pStyle w:val="Normal"/>
        <w:spacing w:lineRule="auto" w:line="360"/>
        <w:ind w:left="709"/>
        <w:jc w:val="both"/>
        <w:rPr>
          <w:rFonts w:ascii="Times New Roman" w:hAnsi="Times New Roman"/>
          <w:lang w:val="lt-LT"/>
        </w:rPr>
      </w:pPr>
      <w:r>
        <w:rPr>
          <w:rFonts w:ascii="Times New Roman" w:hAnsi="Times New Roman"/>
          <w:lang w:val="lt-LT"/>
        </w:rPr>
      </w:r>
    </w:p>
    <w:p>
      <w:pPr>
        <w:pStyle w:val="NormalWeb"/>
        <w:numPr>
          <w:ilvl w:val="0"/>
          <w:numId w:val="2"/>
        </w:numPr>
        <w:shd w:val="clear" w:color="auto" w:fill="FFFFFF"/>
        <w:spacing w:lineRule="auto" w:line="360" w:beforeAutospacing="0" w:before="0" w:afterAutospacing="0" w:after="0"/>
        <w:jc w:val="both"/>
        <w:rPr>
          <w:rFonts w:ascii="Times New Roman" w:hAnsi="Times New Roman"/>
        </w:rPr>
      </w:pPr>
      <w:r>
        <w:rPr>
          <w:b/>
          <w:bCs/>
          <w:lang w:val="lt-LT"/>
        </w:rPr>
        <w:t>Klausimas</w:t>
      </w:r>
    </w:p>
    <w:p>
      <w:pPr>
        <w:pStyle w:val="NormalWeb"/>
        <w:shd w:val="clear" w:color="auto" w:fill="FFFFFF"/>
        <w:spacing w:lineRule="auto" w:line="360" w:beforeAutospacing="0" w:before="0" w:afterAutospacing="0" w:after="0"/>
        <w:ind w:left="714"/>
        <w:jc w:val="both"/>
        <w:rPr>
          <w:rFonts w:ascii="Times New Roman" w:hAnsi="Times New Roman"/>
        </w:rPr>
      </w:pPr>
      <w:r>
        <w:rPr>
          <w:lang w:val="lt-LT"/>
        </w:rPr>
        <w:t>„</w:t>
      </w:r>
      <w:r>
        <w:rPr>
          <w:i/>
          <w:iCs/>
          <w:lang w:val="lt-LT"/>
        </w:rPr>
        <w:t>norime pasitikslinti dėl EBVPD pateikimo. Teikdami pasiūlymą, teiksime ir aktualią tiekėjo EBVPD. Pasiūlyme išviešinsime mūsų pasitelkiamus lektorius - kvazisubtiekėjus. Patikslinkite, prašau, ar kvazisubtiekėjai - fiziniai asmenys taip pat privalo pildyti atskirus EBVPD.</w:t>
        <w:br/>
        <w:t>Taip pat pirkimo dokumentacijoje pasigedome EBVPD formos pildymui html formatu. Įkelkite, prašau.</w:t>
      </w:r>
      <w:r>
        <w:rPr>
          <w:lang w:val="lt-LT"/>
        </w:rPr>
        <w:t>“</w:t>
      </w:r>
    </w:p>
    <w:p>
      <w:pPr>
        <w:pStyle w:val="NormalWeb"/>
        <w:shd w:val="clear" w:color="auto" w:fill="FFFFFF"/>
        <w:spacing w:lineRule="auto" w:line="360" w:beforeAutospacing="0" w:before="0" w:afterAutospacing="0" w:after="0"/>
        <w:ind w:left="714"/>
        <w:jc w:val="both"/>
        <w:rPr>
          <w:rFonts w:ascii="Times New Roman" w:hAnsi="Times New Roman"/>
          <w:sz w:val="28"/>
          <w:szCs w:val="28"/>
        </w:rPr>
      </w:pPr>
      <w:r>
        <w:rPr>
          <w:sz w:val="28"/>
          <w:szCs w:val="28"/>
        </w:rPr>
      </w:r>
    </w:p>
    <w:p>
      <w:pPr>
        <w:pStyle w:val="NormalWeb"/>
        <w:numPr>
          <w:ilvl w:val="0"/>
          <w:numId w:val="1"/>
        </w:numPr>
        <w:shd w:val="clear" w:color="auto" w:fill="FFFFFF"/>
        <w:spacing w:lineRule="auto" w:line="360" w:beforeAutospacing="0" w:before="0" w:afterAutospacing="0" w:after="0"/>
        <w:jc w:val="both"/>
        <w:rPr>
          <w:rFonts w:ascii="Times New Roman" w:hAnsi="Times New Roman"/>
        </w:rPr>
      </w:pPr>
      <w:r>
        <w:rPr>
          <w:b/>
          <w:bCs/>
          <w:lang w:val="lt-LT"/>
        </w:rPr>
        <w:t>Atsakymas</w:t>
      </w:r>
    </w:p>
    <w:p>
      <w:pPr>
        <w:pStyle w:val="BodyText"/>
        <w:spacing w:lineRule="auto" w:line="360"/>
        <w:ind w:left="709"/>
        <w:jc w:val="both"/>
        <w:rPr>
          <w:rFonts w:ascii="Times New Roman" w:hAnsi="Times New Roman"/>
          <w:lang w:val="lt-LT"/>
        </w:rPr>
      </w:pPr>
      <w:r>
        <w:rPr>
          <w:rFonts w:ascii="Times New Roman" w:hAnsi="Times New Roman"/>
          <w:lang w:val="lt-LT"/>
        </w:rPr>
        <w:t>Pridedame EBVPD.</w:t>
      </w:r>
    </w:p>
    <w:p>
      <w:pPr>
        <w:pStyle w:val="Normal"/>
        <w:spacing w:lineRule="auto" w:line="360"/>
        <w:ind w:left="709"/>
        <w:jc w:val="both"/>
        <w:rPr>
          <w:rFonts w:ascii="Times New Roman" w:hAnsi="Times New Roman"/>
          <w:lang w:val="lt-LT"/>
        </w:rPr>
      </w:pPr>
      <w:r>
        <w:rPr>
          <w:rFonts w:ascii="Times New Roman" w:hAnsi="Times New Roman"/>
          <w:lang w:val="lt-LT"/>
        </w:rPr>
      </w:r>
    </w:p>
    <w:p>
      <w:pPr>
        <w:pStyle w:val="NormalWeb"/>
        <w:numPr>
          <w:ilvl w:val="0"/>
          <w:numId w:val="2"/>
        </w:numPr>
        <w:shd w:val="clear" w:color="auto" w:fill="FFFFFF"/>
        <w:spacing w:lineRule="auto" w:line="360" w:beforeAutospacing="0" w:before="0" w:afterAutospacing="0" w:after="0"/>
        <w:jc w:val="both"/>
        <w:rPr>
          <w:rFonts w:ascii="Times New Roman" w:hAnsi="Times New Roman"/>
        </w:rPr>
      </w:pPr>
      <w:r>
        <w:rPr>
          <w:b/>
          <w:bCs/>
          <w:lang w:val="lt-LT"/>
        </w:rPr>
        <w:t>Klausimas</w:t>
      </w:r>
    </w:p>
    <w:p>
      <w:pPr>
        <w:pStyle w:val="NormalWeb"/>
        <w:shd w:val="clear" w:color="auto" w:fill="FFFFFF"/>
        <w:spacing w:lineRule="auto" w:line="360" w:beforeAutospacing="0" w:before="0" w:afterAutospacing="0" w:after="0"/>
        <w:ind w:left="714"/>
        <w:jc w:val="both"/>
        <w:rPr>
          <w:rFonts w:ascii="Times New Roman" w:hAnsi="Times New Roman"/>
        </w:rPr>
      </w:pPr>
      <w:r>
        <w:rPr>
          <w:lang w:val="lt-LT"/>
        </w:rPr>
        <w:t>„</w:t>
      </w:r>
      <w:r>
        <w:rPr>
          <w:i/>
          <w:iCs/>
          <w:lang w:val="lt-LT"/>
        </w:rPr>
        <w:t>Ir nematome įkelto pirkimų sąlygų 10 priedo (6.1.9. Specialistų sąrašo ir kvalifikacijos reikalavimų atitikties pažyma, užpildyta pagal specialiųjų pirkimo sąlygų 10 priede pateiktą formą. (sąlygose nėra įkelto 10 priedo ir jis tekste įvardijamas kaip 11 priedas?), 6.1.8. Deklaracija dėl tiekėjo atsakingų asmenų, užpildyta pagal specialiųjų pirkimo sąlygų 10 priede pateiktą formą. (sąlygose ši deklaracija nurodyta kaip 9 priedas).</w:t>
      </w:r>
      <w:r>
        <w:rPr>
          <w:lang w:val="lt-LT"/>
        </w:rPr>
        <w:t>“</w:t>
      </w:r>
    </w:p>
    <w:p>
      <w:pPr>
        <w:pStyle w:val="NormalWeb"/>
        <w:shd w:val="clear" w:color="auto" w:fill="FFFFFF"/>
        <w:spacing w:lineRule="auto" w:line="360" w:beforeAutospacing="0" w:before="0" w:afterAutospacing="0" w:after="0"/>
        <w:ind w:left="714"/>
        <w:jc w:val="both"/>
        <w:rPr>
          <w:rFonts w:ascii="Times New Roman" w:hAnsi="Times New Roman"/>
          <w:sz w:val="28"/>
          <w:szCs w:val="28"/>
        </w:rPr>
      </w:pPr>
      <w:r>
        <w:rPr>
          <w:sz w:val="28"/>
          <w:szCs w:val="28"/>
        </w:rPr>
      </w:r>
    </w:p>
    <w:p>
      <w:pPr>
        <w:pStyle w:val="NormalWeb"/>
        <w:numPr>
          <w:ilvl w:val="0"/>
          <w:numId w:val="1"/>
        </w:numPr>
        <w:shd w:val="clear" w:color="auto" w:fill="FFFFFF"/>
        <w:spacing w:lineRule="auto" w:line="360" w:beforeAutospacing="0" w:before="0" w:afterAutospacing="0" w:after="0"/>
        <w:jc w:val="both"/>
        <w:rPr>
          <w:rFonts w:ascii="Times New Roman" w:hAnsi="Times New Roman"/>
        </w:rPr>
      </w:pPr>
      <w:r>
        <w:rPr>
          <w:b/>
          <w:bCs/>
          <w:lang w:val="lt-LT"/>
        </w:rPr>
        <w:t>Atsakymas</w:t>
      </w:r>
    </w:p>
    <w:p>
      <w:pPr>
        <w:pStyle w:val="BodyText"/>
        <w:spacing w:lineRule="auto" w:line="360"/>
        <w:ind w:left="709"/>
        <w:jc w:val="both"/>
        <w:rPr>
          <w:rFonts w:ascii="Times New Roman" w:hAnsi="Times New Roman"/>
        </w:rPr>
      </w:pPr>
      <w:r>
        <w:rPr>
          <w:rFonts w:ascii="Times New Roman" w:hAnsi="Times New Roman"/>
          <w:lang w:val="lt-LT"/>
        </w:rPr>
        <w:t xml:space="preserve">Tiekėjai užpildo laisvos formos specialistų sąrašą ir kvalifikacijos atitikties pažymą. </w:t>
      </w:r>
    </w:p>
    <w:p>
      <w:pPr>
        <w:pStyle w:val="BodyText"/>
        <w:spacing w:lineRule="auto" w:line="360"/>
        <w:ind w:left="709"/>
        <w:jc w:val="both"/>
        <w:rPr>
          <w:b w:val="false"/>
          <w:bCs w:val="false"/>
        </w:rPr>
      </w:pPr>
      <w:r>
        <w:rPr>
          <w:rFonts w:cs="Times New Roman" w:ascii="Times New Roman" w:hAnsi="Times New Roman"/>
          <w:b w:val="false"/>
          <w:bCs w:val="false"/>
          <w:sz w:val="24"/>
          <w:szCs w:val="24"/>
          <w:lang w:val="lt-LT"/>
        </w:rPr>
        <w:t>Patiksliname Specialių pirkimo sąlygų 6.1.7, 6.1.8 ir 6.1.9 punktus:</w:t>
      </w:r>
    </w:p>
    <w:p>
      <w:pPr>
        <w:pStyle w:val="BodyText"/>
        <w:spacing w:lineRule="auto" w:line="360"/>
        <w:ind w:left="709"/>
        <w:jc w:val="both"/>
        <w:rPr>
          <w:rFonts w:ascii="Times New Roman" w:hAnsi="Times New Roman"/>
        </w:rPr>
      </w:pPr>
      <w:r>
        <w:rPr>
          <w:rFonts w:cs="Times New Roman" w:ascii="Times New Roman" w:hAnsi="Times New Roman"/>
          <w:b/>
          <w:bCs/>
          <w:sz w:val="24"/>
          <w:szCs w:val="24"/>
          <w:lang w:val="lt-LT"/>
        </w:rPr>
        <w:t>„</w:t>
      </w:r>
      <w:r>
        <w:rPr>
          <w:rFonts w:cs="Times New Roman" w:ascii="Times New Roman" w:hAnsi="Times New Roman"/>
          <w:b/>
          <w:bCs/>
          <w:sz w:val="24"/>
          <w:szCs w:val="24"/>
          <w:lang w:val="lt-LT"/>
        </w:rPr>
        <w:t>6</w:t>
      </w:r>
      <w:r>
        <w:rPr>
          <w:rFonts w:cs="Times New Roman" w:ascii="Times New Roman" w:hAnsi="Times New Roman"/>
          <w:b/>
          <w:bCs/>
          <w:i/>
          <w:iCs/>
          <w:sz w:val="24"/>
          <w:szCs w:val="24"/>
          <w:lang w:val="lt-LT"/>
        </w:rPr>
        <w:t xml:space="preserve">.1.7. Kiekvieno specialisto, kurio pajėgumais tiekėjas remiasi ir kurį </w:t>
      </w:r>
      <w:r>
        <w:rPr>
          <w:rFonts w:cs="Times New Roman" w:ascii="Times New Roman" w:hAnsi="Times New Roman"/>
          <w:b/>
          <w:bCs/>
          <w:i/>
          <w:iCs/>
          <w:sz w:val="24"/>
          <w:szCs w:val="24"/>
          <w:u w:val="single"/>
          <w:lang w:val="lt-LT"/>
        </w:rPr>
        <w:t>ketina įdarbinti</w:t>
      </w:r>
      <w:r>
        <w:rPr>
          <w:rFonts w:cs="Times New Roman" w:ascii="Times New Roman" w:hAnsi="Times New Roman"/>
          <w:b/>
          <w:bCs/>
          <w:i/>
          <w:iCs/>
          <w:sz w:val="24"/>
          <w:szCs w:val="24"/>
          <w:lang w:val="lt-LT"/>
        </w:rPr>
        <w:t xml:space="preserve"> (toliau – kvazisubteikėjas) </w:t>
      </w:r>
      <w:r>
        <w:rPr>
          <w:rFonts w:cs="Times New Roman" w:ascii="Times New Roman" w:hAnsi="Times New Roman"/>
          <w:bCs/>
          <w:i/>
          <w:iCs/>
          <w:sz w:val="24"/>
          <w:szCs w:val="24"/>
          <w:lang w:val="lt-LT"/>
        </w:rPr>
        <w:t xml:space="preserve">(t. y. jei jis pasiūlymo pateikimo metu </w:t>
      </w:r>
      <w:r>
        <w:rPr>
          <w:rFonts w:cs="Times New Roman" w:ascii="Times New Roman" w:hAnsi="Times New Roman"/>
          <w:b/>
          <w:bCs/>
          <w:i/>
          <w:iCs/>
          <w:sz w:val="24"/>
          <w:szCs w:val="24"/>
          <w:lang w:val="lt-LT"/>
        </w:rPr>
        <w:t>nėra tiekėjo ar</w:t>
      </w:r>
      <w:r>
        <w:rPr>
          <w:rFonts w:cs="Times New Roman" w:ascii="Times New Roman" w:hAnsi="Times New Roman"/>
          <w:bCs/>
          <w:i/>
          <w:iCs/>
          <w:sz w:val="24"/>
          <w:szCs w:val="24"/>
          <w:lang w:val="lt-LT"/>
        </w:rPr>
        <w:t xml:space="preserve"> </w:t>
      </w:r>
      <w:r>
        <w:rPr>
          <w:rFonts w:cs="Times New Roman" w:ascii="Times New Roman" w:hAnsi="Times New Roman"/>
          <w:b/>
          <w:i/>
          <w:iCs/>
          <w:sz w:val="24"/>
          <w:szCs w:val="24"/>
          <w:lang w:val="lt-LT"/>
        </w:rPr>
        <w:t xml:space="preserve">ūkio subjekto, </w:t>
      </w:r>
      <w:r>
        <w:rPr>
          <w:rFonts w:cs="Times New Roman" w:ascii="Times New Roman" w:hAnsi="Times New Roman"/>
          <w:b/>
          <w:bCs/>
          <w:i/>
          <w:iCs/>
          <w:sz w:val="24"/>
          <w:szCs w:val="24"/>
          <w:lang w:val="lt-LT"/>
        </w:rPr>
        <w:t>kurio pajėgumais</w:t>
      </w:r>
      <w:r>
        <w:rPr>
          <w:rFonts w:cs="Times New Roman" w:ascii="Times New Roman" w:hAnsi="Times New Roman"/>
          <w:b/>
          <w:i/>
          <w:iCs/>
          <w:sz w:val="24"/>
          <w:szCs w:val="24"/>
          <w:lang w:val="lt-LT"/>
        </w:rPr>
        <w:t xml:space="preserve"> tiekėjas remiasi,</w:t>
      </w:r>
      <w:r>
        <w:rPr>
          <w:rFonts w:cs="Times New Roman" w:ascii="Times New Roman" w:hAnsi="Times New Roman"/>
          <w:bCs/>
          <w:i/>
          <w:iCs/>
          <w:sz w:val="24"/>
          <w:szCs w:val="24"/>
          <w:lang w:val="lt-LT"/>
        </w:rPr>
        <w:t xml:space="preserve"> darbuotojas)</w:t>
      </w:r>
      <w:r>
        <w:rPr>
          <w:rFonts w:cs="Times New Roman" w:ascii="Times New Roman" w:hAnsi="Times New Roman"/>
          <w:b/>
          <w:bCs/>
          <w:i/>
          <w:iCs/>
          <w:sz w:val="24"/>
          <w:szCs w:val="24"/>
          <w:lang w:val="lt-LT"/>
        </w:rPr>
        <w:t xml:space="preserve"> </w:t>
      </w:r>
      <w:r>
        <w:rPr>
          <w:rFonts w:cs="Times New Roman" w:ascii="Times New Roman" w:hAnsi="Times New Roman"/>
          <w:bCs/>
          <w:i/>
          <w:iCs/>
          <w:sz w:val="24"/>
          <w:szCs w:val="24"/>
          <w:lang w:val="lt-LT"/>
        </w:rPr>
        <w:t xml:space="preserve">(jei tokius nurodė specialiųjų pirkimo sąlygų 6 priede „Pasiūlymo forma“ ir </w:t>
      </w:r>
      <w:r>
        <w:rPr>
          <w:rFonts w:cs="Times New Roman" w:ascii="Times New Roman" w:hAnsi="Times New Roman"/>
          <w:bCs/>
          <w:i/>
          <w:iCs/>
          <w:sz w:val="24"/>
          <w:szCs w:val="24"/>
          <w:lang w:val="lt-LT"/>
        </w:rPr>
        <w:t xml:space="preserve">laisvos formos </w:t>
      </w:r>
      <w:r>
        <w:rPr>
          <w:rFonts w:cs="Times New Roman" w:ascii="Times New Roman" w:hAnsi="Times New Roman"/>
          <w:bCs/>
          <w:i/>
          <w:iCs/>
          <w:sz w:val="24"/>
          <w:szCs w:val="24"/>
          <w:lang w:val="lt-LT"/>
        </w:rPr>
        <w:t xml:space="preserve"> </w:t>
      </w:r>
      <w:r>
        <w:rPr>
          <w:rFonts w:cs="Times New Roman" w:ascii="Times New Roman" w:hAnsi="Times New Roman"/>
          <w:i/>
          <w:iCs/>
          <w:sz w:val="24"/>
          <w:szCs w:val="24"/>
          <w:lang w:val="lt-LT"/>
        </w:rPr>
        <w:t xml:space="preserve">„Specialistų sąrašo ir kvalifikacijos reikalavimų atitikties pažymos forma“) </w:t>
      </w:r>
      <w:r>
        <w:rPr>
          <w:rFonts w:cs="Times New Roman" w:ascii="Times New Roman" w:hAnsi="Times New Roman"/>
          <w:b/>
          <w:bCs/>
          <w:i/>
          <w:iCs/>
          <w:sz w:val="24"/>
          <w:szCs w:val="24"/>
          <w:lang w:val="lt-LT"/>
        </w:rPr>
        <w:t xml:space="preserve">pasirašytos laisvos formos sutikimas, patvirtinantis sutikimą teikti sutartyje nurodytas paslaugas, jas konkrečiai įvardinant, ir tiekėjo ar </w:t>
      </w:r>
      <w:r>
        <w:rPr>
          <w:rFonts w:cs="Times New Roman" w:ascii="Times New Roman" w:hAnsi="Times New Roman"/>
          <w:b/>
          <w:i/>
          <w:iCs/>
          <w:sz w:val="24"/>
          <w:szCs w:val="24"/>
          <w:lang w:val="lt-LT"/>
        </w:rPr>
        <w:t xml:space="preserve">ūkio subjekto, </w:t>
      </w:r>
      <w:r>
        <w:rPr>
          <w:rFonts w:cs="Times New Roman" w:ascii="Times New Roman" w:hAnsi="Times New Roman"/>
          <w:b/>
          <w:bCs/>
          <w:i/>
          <w:iCs/>
          <w:sz w:val="24"/>
          <w:szCs w:val="24"/>
          <w:lang w:val="lt-LT"/>
        </w:rPr>
        <w:t>kurio pajėgumais</w:t>
      </w:r>
      <w:r>
        <w:rPr>
          <w:rFonts w:cs="Times New Roman" w:ascii="Times New Roman" w:hAnsi="Times New Roman"/>
          <w:b/>
          <w:i/>
          <w:iCs/>
          <w:sz w:val="24"/>
          <w:szCs w:val="24"/>
          <w:lang w:val="lt-LT"/>
        </w:rPr>
        <w:t xml:space="preserve"> tiekėjas remiasi,</w:t>
      </w:r>
      <w:r>
        <w:rPr>
          <w:rFonts w:cs="Times New Roman" w:ascii="Times New Roman" w:hAnsi="Times New Roman"/>
          <w:b/>
          <w:bCs/>
          <w:i/>
          <w:iCs/>
          <w:sz w:val="24"/>
          <w:szCs w:val="24"/>
          <w:lang w:val="lt-LT"/>
        </w:rPr>
        <w:t xml:space="preserve"> patvirtinimas, kad laimėjęs konkursą, įdarbins šį specialistą</w:t>
      </w:r>
      <w:r>
        <w:rPr>
          <w:rFonts w:cs="Times New Roman" w:ascii="Times New Roman" w:hAnsi="Times New Roman"/>
          <w:bCs/>
          <w:i/>
          <w:iCs/>
          <w:sz w:val="24"/>
          <w:szCs w:val="24"/>
          <w:lang w:val="lt-LT"/>
        </w:rPr>
        <w:t>, skaitmeninės kopijos.</w:t>
      </w:r>
      <w:r>
        <w:rPr>
          <w:rFonts w:ascii="Times New Roman" w:hAnsi="Times New Roman"/>
          <w:lang w:val="lt-LT"/>
        </w:rPr>
        <w:t>“</w:t>
      </w:r>
    </w:p>
    <w:p>
      <w:pPr>
        <w:pStyle w:val="BodyText"/>
        <w:spacing w:lineRule="auto" w:line="360"/>
        <w:ind w:left="709"/>
        <w:jc w:val="both"/>
        <w:rPr>
          <w:rFonts w:ascii="Times New Roman" w:hAnsi="Times New Roman"/>
        </w:rPr>
      </w:pPr>
      <w:r>
        <w:rPr>
          <w:rFonts w:cs="Times New Roman" w:ascii="Times New Roman" w:hAnsi="Times New Roman"/>
          <w:bCs/>
          <w:iCs/>
          <w:sz w:val="24"/>
          <w:szCs w:val="24"/>
          <w:lang w:val="lt-LT"/>
        </w:rPr>
        <w:t>„</w:t>
      </w:r>
      <w:r>
        <w:rPr>
          <w:rFonts w:cs="Times New Roman" w:ascii="Times New Roman" w:hAnsi="Times New Roman"/>
          <w:bCs/>
          <w:i/>
          <w:iCs/>
          <w:sz w:val="24"/>
          <w:szCs w:val="24"/>
        </w:rPr>
        <w:t>6.1.</w:t>
      </w:r>
      <w:r>
        <w:rPr>
          <w:rFonts w:cs="Times New Roman" w:ascii="Times New Roman" w:hAnsi="Times New Roman"/>
          <w:bCs/>
          <w:i/>
          <w:iCs/>
          <w:sz w:val="24"/>
          <w:szCs w:val="24"/>
          <w:lang w:val="en-US"/>
        </w:rPr>
        <w:t>8</w:t>
      </w:r>
      <w:r>
        <w:rPr>
          <w:rFonts w:cs="Times New Roman" w:ascii="Times New Roman" w:hAnsi="Times New Roman"/>
          <w:bCs/>
          <w:i/>
          <w:iCs/>
          <w:sz w:val="24"/>
          <w:szCs w:val="24"/>
        </w:rPr>
        <w:t>.</w:t>
      </w:r>
      <w:r>
        <w:rPr>
          <w:rFonts w:cs="Times New Roman" w:ascii="Times New Roman" w:hAnsi="Times New Roman"/>
          <w:b/>
          <w:i/>
          <w:iCs/>
          <w:color w:val="FF0000"/>
          <w:sz w:val="24"/>
          <w:szCs w:val="24"/>
        </w:rPr>
        <w:t xml:space="preserve"> </w:t>
      </w:r>
      <w:r>
        <w:rPr>
          <w:rStyle w:val="C10"/>
          <w:rFonts w:cs="Times New Roman" w:ascii="Times New Roman" w:hAnsi="Times New Roman"/>
          <w:i/>
          <w:iCs/>
          <w:sz w:val="24"/>
          <w:szCs w:val="24"/>
        </w:rPr>
        <w:t>Deklaracija dėl tiekėjo atsakingų asmenų, užpildyta pagal specialiųjų pirkimo sąlygų</w:t>
      </w:r>
      <w:r>
        <w:rPr>
          <w:rStyle w:val="C10"/>
          <w:rFonts w:cs="Times New Roman" w:ascii="Times New Roman" w:hAnsi="Times New Roman"/>
          <w:i/>
          <w:iCs/>
          <w:sz w:val="24"/>
          <w:szCs w:val="24"/>
          <w:lang w:val="lt-LT"/>
        </w:rPr>
        <w:t xml:space="preserve"> </w:t>
      </w:r>
      <w:r>
        <w:rPr>
          <w:rStyle w:val="C10"/>
          <w:rFonts w:cs="Times New Roman" w:ascii="Times New Roman" w:hAnsi="Times New Roman"/>
          <w:i/>
          <w:iCs/>
          <w:sz w:val="24"/>
          <w:szCs w:val="24"/>
          <w:lang w:val="lt-LT"/>
        </w:rPr>
        <w:t>9</w:t>
      </w:r>
      <w:r>
        <w:rPr>
          <w:rStyle w:val="C10"/>
          <w:rFonts w:cs="Times New Roman" w:ascii="Times New Roman" w:hAnsi="Times New Roman"/>
          <w:i/>
          <w:iCs/>
          <w:sz w:val="24"/>
          <w:szCs w:val="24"/>
          <w:lang w:val="lt-LT"/>
        </w:rPr>
        <w:t xml:space="preserve"> </w:t>
      </w:r>
      <w:r>
        <w:rPr>
          <w:rStyle w:val="C10"/>
          <w:rFonts w:cs="Times New Roman" w:ascii="Times New Roman" w:hAnsi="Times New Roman"/>
          <w:i/>
          <w:iCs/>
          <w:sz w:val="24"/>
          <w:szCs w:val="24"/>
        </w:rPr>
        <w:t>priede pateiktą formą.</w:t>
      </w:r>
      <w:r>
        <w:rPr>
          <w:rStyle w:val="C10"/>
          <w:rFonts w:cs="Times New Roman" w:ascii="Times New Roman" w:hAnsi="Times New Roman"/>
          <w:sz w:val="24"/>
          <w:szCs w:val="24"/>
        </w:rPr>
        <w:t xml:space="preserve">“ </w:t>
      </w:r>
    </w:p>
    <w:p>
      <w:pPr>
        <w:pStyle w:val="BodyText"/>
        <w:spacing w:lineRule="auto" w:line="360"/>
        <w:ind w:left="709"/>
        <w:jc w:val="both"/>
        <w:rPr>
          <w:rFonts w:ascii="Times New Roman" w:hAnsi="Times New Roman"/>
        </w:rPr>
      </w:pPr>
      <w:r>
        <w:rPr>
          <w:rStyle w:val="C10"/>
          <w:rFonts w:cs="Times New Roman" w:ascii="Times New Roman" w:hAnsi="Times New Roman"/>
          <w:sz w:val="24"/>
          <w:szCs w:val="24"/>
          <w:lang w:val="lt-LT"/>
        </w:rPr>
        <w:t>„</w:t>
      </w:r>
      <w:r>
        <w:rPr>
          <w:rStyle w:val="C10"/>
          <w:rFonts w:cs="Times New Roman" w:ascii="Times New Roman" w:hAnsi="Times New Roman"/>
          <w:i/>
          <w:iCs/>
          <w:sz w:val="24"/>
          <w:szCs w:val="24"/>
          <w:lang w:val="lt-LT"/>
        </w:rPr>
        <w:t>6.1.</w:t>
      </w:r>
      <w:r>
        <w:rPr>
          <w:rStyle w:val="C10"/>
          <w:rFonts w:cs="Times New Roman" w:ascii="Times New Roman" w:hAnsi="Times New Roman"/>
          <w:i/>
          <w:iCs/>
          <w:sz w:val="24"/>
          <w:szCs w:val="24"/>
          <w:lang w:val="en-US"/>
        </w:rPr>
        <w:t>9</w:t>
      </w:r>
      <w:r>
        <w:rPr>
          <w:rStyle w:val="C10"/>
          <w:rFonts w:cs="Times New Roman" w:ascii="Times New Roman" w:hAnsi="Times New Roman"/>
          <w:i/>
          <w:iCs/>
          <w:sz w:val="24"/>
          <w:szCs w:val="24"/>
          <w:lang w:val="lt-LT"/>
        </w:rPr>
        <w:t xml:space="preserve">. </w:t>
      </w:r>
      <w:r>
        <w:rPr>
          <w:rFonts w:cs="Times New Roman" w:ascii="Times New Roman" w:hAnsi="Times New Roman"/>
          <w:i/>
          <w:iCs/>
          <w:sz w:val="24"/>
          <w:szCs w:val="24"/>
          <w:lang w:val="lt-LT"/>
        </w:rPr>
        <w:t>Specialistų sąrašo ir kvalifikacijos reikalavimų atitikties pažyma</w:t>
      </w:r>
      <w:r>
        <w:rPr>
          <w:rStyle w:val="C10"/>
          <w:rFonts w:cs="Times New Roman" w:ascii="Times New Roman" w:hAnsi="Times New Roman"/>
          <w:i/>
          <w:iCs/>
          <w:sz w:val="24"/>
          <w:szCs w:val="24"/>
          <w:lang w:val="lt-LT"/>
        </w:rPr>
        <w:t xml:space="preserve"> pateiktą </w:t>
      </w:r>
      <w:r>
        <w:rPr>
          <w:rStyle w:val="C10"/>
          <w:rFonts w:cs="Times New Roman" w:ascii="Times New Roman" w:hAnsi="Times New Roman"/>
          <w:i/>
          <w:iCs/>
          <w:sz w:val="24"/>
          <w:szCs w:val="24"/>
          <w:lang w:val="lt-LT"/>
        </w:rPr>
        <w:t xml:space="preserve">laisva </w:t>
      </w:r>
      <w:r>
        <w:rPr>
          <w:rStyle w:val="C10"/>
          <w:rFonts w:cs="Times New Roman" w:ascii="Times New Roman" w:hAnsi="Times New Roman"/>
          <w:i/>
          <w:iCs/>
          <w:sz w:val="24"/>
          <w:szCs w:val="24"/>
          <w:lang w:val="lt-LT"/>
        </w:rPr>
        <w:t>formą.</w:t>
      </w:r>
      <w:r>
        <w:rPr>
          <w:rStyle w:val="C10"/>
          <w:rFonts w:cs="Times New Roman" w:ascii="Times New Roman" w:hAnsi="Times New Roman"/>
          <w:sz w:val="24"/>
          <w:szCs w:val="24"/>
          <w:lang w:val="lt-LT"/>
        </w:rPr>
        <w:t>“</w:t>
      </w:r>
    </w:p>
    <w:p>
      <w:pPr>
        <w:pStyle w:val="BodyText"/>
        <w:spacing w:lineRule="auto" w:line="360"/>
        <w:ind w:left="709"/>
        <w:jc w:val="both"/>
        <w:rPr>
          <w:rFonts w:ascii="Times New Roman" w:hAnsi="Times New Roman"/>
        </w:rPr>
      </w:pPr>
      <w:r>
        <w:rPr>
          <w:rFonts w:ascii="Times New Roman" w:hAnsi="Times New Roman"/>
          <w:lang w:val="lt-LT"/>
        </w:rPr>
      </w:r>
    </w:p>
    <w:p>
      <w:pPr>
        <w:pStyle w:val="NormalWeb"/>
        <w:numPr>
          <w:ilvl w:val="0"/>
          <w:numId w:val="2"/>
        </w:numPr>
        <w:shd w:val="clear" w:color="auto" w:fill="FFFFFF"/>
        <w:spacing w:lineRule="auto" w:line="360" w:beforeAutospacing="0" w:before="0" w:afterAutospacing="0" w:after="0"/>
        <w:jc w:val="both"/>
        <w:rPr>
          <w:rFonts w:ascii="Times New Roman" w:hAnsi="Times New Roman"/>
        </w:rPr>
      </w:pPr>
      <w:r>
        <w:rPr>
          <w:b/>
          <w:bCs/>
          <w:lang w:val="lt-LT"/>
        </w:rPr>
        <w:t>Klausimas</w:t>
      </w:r>
    </w:p>
    <w:p>
      <w:pPr>
        <w:pStyle w:val="NormalWeb"/>
        <w:shd w:val="clear" w:color="auto" w:fill="FFFFFF"/>
        <w:spacing w:lineRule="auto" w:line="360" w:beforeAutospacing="0" w:before="0" w:afterAutospacing="0" w:after="0"/>
        <w:ind w:left="714"/>
        <w:jc w:val="both"/>
        <w:rPr>
          <w:rFonts w:ascii="Times New Roman" w:hAnsi="Times New Roman"/>
        </w:rPr>
      </w:pPr>
      <w:r>
        <w:rPr>
          <w:lang w:val="lt-LT"/>
        </w:rPr>
        <w:t>„</w:t>
      </w:r>
      <w:r>
        <w:rPr>
          <w:i/>
          <w:iCs/>
          <w:lang w:val="lt-LT"/>
        </w:rPr>
        <w:t>Norėjome pasiteirauti, jei tiekėjus pasitelktume iš užsienio, kurie yra tarpinė mokymo įstaiga,turinti ekspertus paslaugoms suteikti, atitinkančius Jūsų pageidaujamus reikalavimus:</w:t>
      </w:r>
    </w:p>
    <w:p>
      <w:pPr>
        <w:pStyle w:val="NormalWeb"/>
        <w:shd w:val="clear" w:color="auto" w:fill="FFFFFF"/>
        <w:spacing w:lineRule="auto" w:line="360" w:beforeAutospacing="0" w:before="0" w:afterAutospacing="0" w:after="0"/>
        <w:ind w:left="714"/>
        <w:jc w:val="both"/>
        <w:rPr>
          <w:rFonts w:ascii="Times New Roman" w:hAnsi="Times New Roman"/>
        </w:rPr>
      </w:pPr>
      <w:r>
        <w:rPr>
          <w:i/>
          <w:iCs/>
          <w:lang w:val="lt-LT"/>
        </w:rPr>
        <w:t>- Remsiuosi ūkio subjekto pajėgumais,</w:t>
      </w:r>
    </w:p>
    <w:p>
      <w:pPr>
        <w:pStyle w:val="NormalWeb"/>
        <w:shd w:val="clear" w:color="auto" w:fill="FFFFFF"/>
        <w:spacing w:lineRule="auto" w:line="360" w:beforeAutospacing="0" w:before="0" w:afterAutospacing="0" w:after="0"/>
        <w:ind w:left="714"/>
        <w:jc w:val="both"/>
        <w:rPr>
          <w:rFonts w:ascii="Times New Roman" w:hAnsi="Times New Roman"/>
        </w:rPr>
      </w:pPr>
      <w:r>
        <w:rPr>
          <w:i/>
          <w:iCs/>
          <w:lang w:val="lt-LT"/>
        </w:rPr>
        <w:t>- Remsiuosi kvazisubtiekėjų pajėgumas (nors tada reikia įdarbinti);</w:t>
      </w:r>
    </w:p>
    <w:p>
      <w:pPr>
        <w:pStyle w:val="NormalWeb"/>
        <w:shd w:val="clear" w:color="auto" w:fill="FFFFFF"/>
        <w:spacing w:lineRule="auto" w:line="360" w:beforeAutospacing="0" w:before="0" w:afterAutospacing="0" w:after="0"/>
        <w:ind w:left="714"/>
        <w:jc w:val="both"/>
        <w:rPr>
          <w:rFonts w:ascii="Times New Roman" w:hAnsi="Times New Roman"/>
        </w:rPr>
      </w:pPr>
      <w:r>
        <w:rPr>
          <w:i/>
          <w:iCs/>
          <w:lang w:val="lt-LT"/>
        </w:rPr>
        <w:t>- Sutarties vykdymui pasitelksiu subtiekėjus;</w:t>
      </w:r>
    </w:p>
    <w:p>
      <w:pPr>
        <w:pStyle w:val="NormalWeb"/>
        <w:shd w:val="clear" w:color="auto" w:fill="FFFFFF"/>
        <w:spacing w:lineRule="auto" w:line="360" w:beforeAutospacing="0" w:before="0" w:afterAutospacing="0" w:after="0"/>
        <w:ind w:left="714"/>
        <w:jc w:val="both"/>
        <w:rPr>
          <w:rFonts w:ascii="Times New Roman" w:hAnsi="Times New Roman"/>
        </w:rPr>
      </w:pPr>
      <w:r>
        <w:rPr>
          <w:i/>
          <w:iCs/>
          <w:lang w:val="lt-LT"/>
        </w:rPr>
        <w:t xml:space="preserve">- Sutarties vykdymui naudosiuosi trečiųjų asmenų priemonėmis. </w:t>
      </w:r>
      <w:r>
        <w:rPr>
          <w:lang w:val="lt-LT"/>
        </w:rPr>
        <w:t>“</w:t>
      </w:r>
    </w:p>
    <w:p>
      <w:pPr>
        <w:pStyle w:val="NormalWeb"/>
        <w:shd w:val="clear" w:color="auto" w:fill="FFFFFF"/>
        <w:spacing w:lineRule="auto" w:line="360" w:beforeAutospacing="0" w:before="0" w:afterAutospacing="0" w:after="0"/>
        <w:ind w:left="714"/>
        <w:jc w:val="both"/>
        <w:rPr>
          <w:rFonts w:ascii="Times New Roman" w:hAnsi="Times New Roman"/>
          <w:sz w:val="28"/>
          <w:szCs w:val="28"/>
        </w:rPr>
      </w:pPr>
      <w:r>
        <w:rPr>
          <w:sz w:val="28"/>
          <w:szCs w:val="28"/>
        </w:rPr>
      </w:r>
    </w:p>
    <w:p>
      <w:pPr>
        <w:pStyle w:val="NormalWeb"/>
        <w:numPr>
          <w:ilvl w:val="0"/>
          <w:numId w:val="1"/>
        </w:numPr>
        <w:shd w:val="clear" w:color="auto" w:fill="FFFFFF"/>
        <w:spacing w:lineRule="auto" w:line="360" w:beforeAutospacing="0" w:before="0" w:afterAutospacing="0" w:after="0"/>
        <w:jc w:val="both"/>
        <w:rPr>
          <w:rFonts w:ascii="Times New Roman" w:hAnsi="Times New Roman"/>
        </w:rPr>
      </w:pPr>
      <w:r>
        <w:rPr>
          <w:b/>
          <w:bCs/>
          <w:lang w:val="lt-LT"/>
        </w:rPr>
        <w:t>Atsakymas</w:t>
      </w:r>
    </w:p>
    <w:p>
      <w:pPr>
        <w:pStyle w:val="BodyText"/>
        <w:spacing w:lineRule="auto" w:line="360" w:before="0" w:after="140"/>
        <w:ind w:left="709"/>
        <w:jc w:val="both"/>
        <w:rPr>
          <w:rFonts w:ascii="Times New Roman" w:hAnsi="Times New Roman"/>
        </w:rPr>
      </w:pPr>
      <w:r>
        <w:rPr>
          <w:rFonts w:ascii="Times New Roman" w:hAnsi="Times New Roman"/>
          <w:lang w:val="lt-LT"/>
        </w:rPr>
        <w:t>Jei užsienio įmonės specialistų kvalifikacija bus vertinama, tai Jūs remsitės kito subjekto pajėgumais, jei užsienio įmonės specialistų kvalifikacija nebus vertinam, tai pasitelksite subtiekėją.</w:t>
      </w:r>
    </w:p>
    <w:sectPr>
      <w:type w:val="nextPage"/>
      <w:pgSz w:w="11906" w:h="16838"/>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2">
    <w:lvl w:ilvl="0">
      <w:start w:val="1"/>
      <w:numFmt w:val="decimal"/>
      <w:lvlText w:val="%1."/>
      <w:lvlJc w:val="left"/>
      <w:pPr>
        <w:tabs>
          <w:tab w:val="num" w:pos="0"/>
        </w:tabs>
        <w:ind w:left="1074" w:hanging="360"/>
      </w:pPr>
      <w:rPr/>
    </w:lvl>
    <w:lvl w:ilvl="1">
      <w:start w:val="1"/>
      <w:numFmt w:val="lowerLetter"/>
      <w:lvlText w:val="%2."/>
      <w:lvlJc w:val="left"/>
      <w:pPr>
        <w:tabs>
          <w:tab w:val="num" w:pos="0"/>
        </w:tabs>
        <w:ind w:left="1794" w:hanging="360"/>
      </w:pPr>
      <w:rPr/>
    </w:lvl>
    <w:lvl w:ilvl="2">
      <w:start w:val="1"/>
      <w:numFmt w:val="lowerRoman"/>
      <w:lvlText w:val="%3."/>
      <w:lvlJc w:val="right"/>
      <w:pPr>
        <w:tabs>
          <w:tab w:val="num" w:pos="0"/>
        </w:tabs>
        <w:ind w:left="2514" w:hanging="180"/>
      </w:pPr>
      <w:rPr/>
    </w:lvl>
    <w:lvl w:ilvl="3">
      <w:start w:val="1"/>
      <w:numFmt w:val="decimal"/>
      <w:lvlText w:val="%4."/>
      <w:lvlJc w:val="left"/>
      <w:pPr>
        <w:tabs>
          <w:tab w:val="num" w:pos="0"/>
        </w:tabs>
        <w:ind w:left="3234" w:hanging="360"/>
      </w:pPr>
      <w:rPr/>
    </w:lvl>
    <w:lvl w:ilvl="4">
      <w:start w:val="1"/>
      <w:numFmt w:val="lowerLetter"/>
      <w:lvlText w:val="%5."/>
      <w:lvlJc w:val="left"/>
      <w:pPr>
        <w:tabs>
          <w:tab w:val="num" w:pos="0"/>
        </w:tabs>
        <w:ind w:left="3954" w:hanging="360"/>
      </w:pPr>
      <w:rPr/>
    </w:lvl>
    <w:lvl w:ilvl="5">
      <w:start w:val="1"/>
      <w:numFmt w:val="lowerRoman"/>
      <w:lvlText w:val="%6."/>
      <w:lvlJc w:val="right"/>
      <w:pPr>
        <w:tabs>
          <w:tab w:val="num" w:pos="0"/>
        </w:tabs>
        <w:ind w:left="4674" w:hanging="180"/>
      </w:pPr>
      <w:rPr/>
    </w:lvl>
    <w:lvl w:ilvl="6">
      <w:start w:val="1"/>
      <w:numFmt w:val="decimal"/>
      <w:lvlText w:val="%7."/>
      <w:lvlJc w:val="left"/>
      <w:pPr>
        <w:tabs>
          <w:tab w:val="num" w:pos="0"/>
        </w:tabs>
        <w:ind w:left="5394" w:hanging="360"/>
      </w:pPr>
      <w:rPr/>
    </w:lvl>
    <w:lvl w:ilvl="7">
      <w:start w:val="1"/>
      <w:numFmt w:val="lowerLetter"/>
      <w:lvlText w:val="%8."/>
      <w:lvlJc w:val="left"/>
      <w:pPr>
        <w:tabs>
          <w:tab w:val="num" w:pos="0"/>
        </w:tabs>
        <w:ind w:left="6114" w:hanging="360"/>
      </w:pPr>
      <w:rPr/>
    </w:lvl>
    <w:lvl w:ilvl="8">
      <w:start w:val="1"/>
      <w:numFmt w:val="lowerRoman"/>
      <w:lvlText w:val="%9."/>
      <w:lvlJc w:val="right"/>
      <w:pPr>
        <w:tabs>
          <w:tab w:val="num" w:pos="0"/>
        </w:tabs>
        <w:ind w:left="6834"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4"/>
      <w:szCs w:val="24"/>
      <w:lang w:val="en-US" w:eastAsia="en-US" w:bidi="ar-SA"/>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unhideWhenUsed/>
    <w:rsid w:val="00336007"/>
    <w:rPr>
      <w:color w:val="0000FF"/>
      <w:u w:val="single"/>
    </w:rPr>
  </w:style>
  <w:style w:type="character" w:styleId="Apple-converted-space" w:customStyle="1">
    <w:name w:val="apple-converted-space"/>
    <w:basedOn w:val="DefaultParagraphFont"/>
    <w:qFormat/>
    <w:rsid w:val="00336007"/>
    <w:rPr/>
  </w:style>
  <w:style w:type="character" w:styleId="UnresolvedMention">
    <w:name w:val="Unresolved Mention"/>
    <w:basedOn w:val="DefaultParagraphFont"/>
    <w:uiPriority w:val="99"/>
    <w:semiHidden/>
    <w:unhideWhenUsed/>
    <w:qFormat/>
    <w:rsid w:val="00822fb7"/>
    <w:rPr>
      <w:color w:val="605E5C"/>
      <w:shd w:fill="E1DFDD" w:val="clear"/>
    </w:rPr>
  </w:style>
  <w:style w:type="character" w:styleId="NumberingSymbols">
    <w:name w:val="Numbering Symbols"/>
    <w:qFormat/>
    <w:rPr/>
  </w:style>
  <w:style w:type="character" w:styleId="Bullets">
    <w:name w:val="Bullets"/>
    <w:qFormat/>
    <w:rPr>
      <w:rFonts w:ascii="OpenSymbol" w:hAnsi="OpenSymbol" w:eastAsia="OpenSymbol" w:cs="OpenSymbol"/>
    </w:rPr>
  </w:style>
  <w:style w:type="character" w:styleId="C10">
    <w:name w:val="c10"/>
    <w:basedOn w:val="DefaultParagraphFont"/>
    <w:qForma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NormalWeb">
    <w:name w:val="Normal (Web)"/>
    <w:basedOn w:val="Normal"/>
    <w:uiPriority w:val="99"/>
    <w:unhideWhenUsed/>
    <w:qFormat/>
    <w:rsid w:val="00336007"/>
    <w:pPr>
      <w:spacing w:beforeAutospacing="1" w:afterAutospacing="1"/>
    </w:pPr>
    <w:rPr>
      <w:rFonts w:ascii="Times New Roman" w:hAnsi="Times New Roman" w:eastAsia="Times New Roman" w:cs="Times New Roman"/>
      <w:lang w:eastAsia="en-GB"/>
    </w:rPr>
  </w:style>
  <w:style w:type="paragraph" w:styleId="P1" w:customStyle="1">
    <w:name w:val="p1"/>
    <w:basedOn w:val="Normal"/>
    <w:qFormat/>
    <w:rsid w:val="00336007"/>
    <w:pPr>
      <w:spacing w:beforeAutospacing="1" w:afterAutospacing="1"/>
    </w:pPr>
    <w:rPr>
      <w:rFonts w:ascii="Times New Roman" w:hAnsi="Times New Roman" w:eastAsia="Times New Roman" w:cs="Times New Roman"/>
      <w:lang w:eastAsia="en-GB"/>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49</TotalTime>
  <Application>LibreOffice/7.6.4.1$Windows_X86_64 LibreOffice_project/e19e193f88cd6c0525a17fb7a176ed8e6a3e2aa1</Application>
  <AppVersion>15.0000</AppVersion>
  <Pages>3</Pages>
  <Words>416</Words>
  <Characters>2985</Characters>
  <CharactersWithSpaces>3371</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2023-03-29T13:47:00Z</dcterms:created>
  <dc:creator>Ignas Stanislovaitis</dc:creator>
  <dc:description/>
  <dc:language>en-US</dc:language>
  <cp:lastModifiedBy/>
  <dcterms:modified xsi:type="dcterms:W3CDTF">2025-09-01T09:00:13Z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